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0" w:firstLineChars="700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南医大二附院婴儿特殊食品调研信息表</w:t>
      </w:r>
    </w:p>
    <w:tbl>
      <w:tblPr>
        <w:tblStyle w:val="4"/>
        <w:tblpPr w:leftFromText="180" w:rightFromText="180" w:vertAnchor="text" w:horzAnchor="page" w:tblpX="975" w:tblpY="622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4"/>
        <w:gridCol w:w="2191"/>
        <w:gridCol w:w="2355"/>
        <w:gridCol w:w="919"/>
        <w:gridCol w:w="791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253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通用名称</w:t>
            </w:r>
          </w:p>
        </w:tc>
        <w:tc>
          <w:tcPr>
            <w:tcW w:w="2191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主要用途</w:t>
            </w:r>
          </w:p>
        </w:tc>
        <w:tc>
          <w:tcPr>
            <w:tcW w:w="2355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技术指标</w:t>
            </w:r>
          </w:p>
        </w:tc>
        <w:tc>
          <w:tcPr>
            <w:tcW w:w="919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性状</w:t>
            </w:r>
          </w:p>
        </w:tc>
        <w:tc>
          <w:tcPr>
            <w:tcW w:w="791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  <w:tc>
          <w:tcPr>
            <w:tcW w:w="1200" w:type="dxa"/>
            <w:tcBorders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25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特殊医学用途婴儿乳蛋白深度水解配方食品</w:t>
            </w:r>
          </w:p>
        </w:tc>
        <w:tc>
          <w:tcPr>
            <w:tcW w:w="2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0-12月龄食物蛋白过敏婴儿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取得特殊医学配方食品注册批件，无乳糖配方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粉剂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元/g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25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特殊医学用途婴儿氨基酸配方食品</w:t>
            </w:r>
          </w:p>
        </w:tc>
        <w:tc>
          <w:tcPr>
            <w:tcW w:w="2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适用于0-12月龄食物蛋白过敏婴儿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取得特殊医学配方食品注册批件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粉剂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元/g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  <w:tblHeader/>
        </w:trPr>
        <w:tc>
          <w:tcPr>
            <w:tcW w:w="25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特殊医学用途婴儿乳蛋白部分水解配方食品</w:t>
            </w:r>
          </w:p>
        </w:tc>
        <w:tc>
          <w:tcPr>
            <w:tcW w:w="2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0-12月龄乳蛋白过敏高风险婴儿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取得特殊医学配方</w:t>
            </w:r>
          </w:p>
          <w:p>
            <w:pPr>
              <w:widowControl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食品注册批件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粉剂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元/g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tblHeader/>
        </w:trPr>
        <w:tc>
          <w:tcPr>
            <w:tcW w:w="2534" w:type="dxa"/>
            <w:tcBorders>
              <w:top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特殊医学用途早产/低出生体重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婴儿配方食品</w:t>
            </w:r>
          </w:p>
        </w:tc>
        <w:tc>
          <w:tcPr>
            <w:tcW w:w="2191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早产/低出生体重婴儿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取得特殊医学配方食品注册批件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粉剂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元/g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3"/>
        <w:rPr>
          <w:rFonts w:hint="eastAsia" w:eastAsia="幼圆"/>
          <w:lang w:eastAsia="zh-CN"/>
        </w:rPr>
      </w:pPr>
    </w:p>
    <w:sectPr>
      <w:pgSz w:w="11906" w:h="16838"/>
      <w:pgMar w:top="1440" w:right="737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YTkxOTQzNDY3Yjk5ZjIwYTE0MWE1ZDY0YjczNzAifQ=="/>
  </w:docVars>
  <w:rsids>
    <w:rsidRoot w:val="5BC1711F"/>
    <w:rsid w:val="1B18227E"/>
    <w:rsid w:val="25FE17A9"/>
    <w:rsid w:val="392459CC"/>
    <w:rsid w:val="5A990789"/>
    <w:rsid w:val="5BC1711F"/>
    <w:rsid w:val="60274D50"/>
    <w:rsid w:val="6A5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Plain Text"/>
    <w:basedOn w:val="1"/>
    <w:next w:val="2"/>
    <w:qFormat/>
    <w:uiPriority w:val="0"/>
    <w:rPr>
      <w:rFonts w:ascii="宋体" w:hAnsi="Courier New" w:eastAsia="幼圆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288</Characters>
  <Lines>0</Lines>
  <Paragraphs>0</Paragraphs>
  <TotalTime>33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2023-08-18T01:46:00Z</dcterms:created>
  <dc:creator>江苏省中医院</dc:creator>
  <cp:lastModifiedBy>甄晓东</cp:lastModifiedBy>
  <dcterms:modified xsi:type="dcterms:W3CDTF">2023-08-25T03:00:32Z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78D38C6B858C43B1B0E9348349ACBEC4_11</vt:lpwstr>
  </property>
</Properties>
</file>